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6DC" w:rsidRDefault="004D76DC" w:rsidP="004D76DC">
      <w:pPr>
        <w:widowControl/>
        <w:spacing w:after="120" w:line="276" w:lineRule="auto"/>
        <w:jc w:val="left"/>
        <w:rPr>
          <w:rFonts w:asciiTheme="majorEastAsia" w:eastAsiaTheme="majorEastAsia" w:hAnsiTheme="majorEastAsia" w:cs="Songti SC Regular" w:hint="eastAsia"/>
          <w:kern w:val="0"/>
          <w:sz w:val="32"/>
          <w:szCs w:val="32"/>
        </w:rPr>
      </w:pPr>
    </w:p>
    <w:p w:rsidR="004D76DC" w:rsidRDefault="004D76DC" w:rsidP="004D76DC">
      <w:pPr>
        <w:widowControl/>
        <w:spacing w:after="120" w:line="276" w:lineRule="auto"/>
        <w:jc w:val="left"/>
        <w:rPr>
          <w:rFonts w:asciiTheme="majorEastAsia" w:eastAsiaTheme="majorEastAsia" w:hAnsiTheme="majorEastAsia" w:cs="Songti SC Regular" w:hint="eastAsia"/>
          <w:kern w:val="0"/>
          <w:sz w:val="32"/>
          <w:szCs w:val="32"/>
        </w:rPr>
      </w:pPr>
    </w:p>
    <w:p w:rsidR="004D76DC" w:rsidRPr="004D76DC" w:rsidRDefault="004D76DC" w:rsidP="004D76DC">
      <w:pPr>
        <w:widowControl/>
        <w:spacing w:after="120" w:line="276" w:lineRule="auto"/>
        <w:ind w:firstLineChars="800" w:firstLine="2560"/>
        <w:jc w:val="left"/>
        <w:rPr>
          <w:rFonts w:asciiTheme="majorEastAsia" w:eastAsiaTheme="majorEastAsia" w:hAnsiTheme="majorEastAsia" w:cs="Songti SC Regular" w:hint="eastAsia"/>
          <w:kern w:val="0"/>
          <w:sz w:val="32"/>
          <w:szCs w:val="32"/>
          <w:lang w:eastAsia="zh-Hans"/>
        </w:rPr>
      </w:pPr>
      <w:r w:rsidRPr="004D76DC">
        <w:rPr>
          <w:rFonts w:asciiTheme="majorEastAsia" w:eastAsiaTheme="majorEastAsia" w:hAnsiTheme="majorEastAsia" w:cs="Songti SC Regular" w:hint="eastAsia"/>
          <w:kern w:val="0"/>
          <w:sz w:val="32"/>
          <w:szCs w:val="32"/>
          <w:lang w:eastAsia="zh-Hans"/>
        </w:rPr>
        <w:t>辽财农〔2023]107号</w:t>
      </w:r>
    </w:p>
    <w:p w:rsidR="004D76DC" w:rsidRDefault="004D76DC" w:rsidP="004D76DC">
      <w:pPr>
        <w:widowControl/>
        <w:spacing w:after="120" w:line="276" w:lineRule="auto"/>
        <w:jc w:val="center"/>
        <w:rPr>
          <w:rFonts w:asciiTheme="majorEastAsia" w:eastAsiaTheme="majorEastAsia" w:hAnsiTheme="majorEastAsia" w:cs="Songti SC Regular" w:hint="eastAsia"/>
          <w:b/>
          <w:kern w:val="0"/>
          <w:sz w:val="44"/>
          <w:szCs w:val="44"/>
        </w:rPr>
      </w:pPr>
      <w:r w:rsidRPr="004D76DC">
        <w:rPr>
          <w:rFonts w:asciiTheme="majorEastAsia" w:eastAsiaTheme="majorEastAsia" w:hAnsiTheme="majorEastAsia" w:cs="Songti SC Regular" w:hint="eastAsia"/>
          <w:b/>
          <w:kern w:val="0"/>
          <w:sz w:val="44"/>
          <w:szCs w:val="44"/>
          <w:lang w:eastAsia="zh-Hans"/>
        </w:rPr>
        <w:t>关于抓紧做好实际种粮农民一次性补贴</w:t>
      </w:r>
    </w:p>
    <w:p w:rsidR="004D76DC" w:rsidRPr="004D76DC" w:rsidRDefault="004D76DC" w:rsidP="004D76DC">
      <w:pPr>
        <w:widowControl/>
        <w:spacing w:after="120" w:line="276" w:lineRule="auto"/>
        <w:jc w:val="center"/>
        <w:rPr>
          <w:rFonts w:asciiTheme="majorEastAsia" w:eastAsiaTheme="majorEastAsia" w:hAnsiTheme="majorEastAsia" w:cs="Songti SC Regular" w:hint="eastAsia"/>
          <w:b/>
          <w:kern w:val="0"/>
          <w:sz w:val="44"/>
          <w:szCs w:val="44"/>
        </w:rPr>
      </w:pPr>
      <w:r w:rsidRPr="004D76DC">
        <w:rPr>
          <w:rFonts w:asciiTheme="majorEastAsia" w:eastAsiaTheme="majorEastAsia" w:hAnsiTheme="majorEastAsia" w:cs="Songti SC Regular" w:hint="eastAsia"/>
          <w:b/>
          <w:kern w:val="0"/>
          <w:sz w:val="44"/>
          <w:szCs w:val="44"/>
          <w:lang w:eastAsia="zh-Hans"/>
        </w:rPr>
        <w:t>资金发放工作的通知</w:t>
      </w:r>
    </w:p>
    <w:p w:rsidR="004D76DC" w:rsidRPr="004D76DC" w:rsidRDefault="004D76DC" w:rsidP="004D76DC">
      <w:pPr>
        <w:widowControl/>
        <w:spacing w:after="120" w:line="276" w:lineRule="auto"/>
        <w:jc w:val="left"/>
        <w:rPr>
          <w:rFonts w:asciiTheme="minorEastAsia" w:hAnsiTheme="minorEastAsia" w:cs="Songti SC Regular" w:hint="eastAsia"/>
          <w:kern w:val="0"/>
          <w:sz w:val="30"/>
          <w:szCs w:val="30"/>
          <w:lang w:eastAsia="zh-Hans"/>
        </w:rPr>
      </w:pPr>
      <w:r w:rsidRPr="004D76DC">
        <w:rPr>
          <w:rFonts w:asciiTheme="minorEastAsia" w:hAnsiTheme="minorEastAsia" w:cs="Songti SC Regular" w:hint="eastAsia"/>
          <w:kern w:val="0"/>
          <w:sz w:val="30"/>
          <w:szCs w:val="30"/>
          <w:lang w:eastAsia="zh-Hans"/>
        </w:rPr>
        <w:t>各市财政局、农业农村局，沈抚示范区财政金融局、社会事业局：</w:t>
      </w:r>
    </w:p>
    <w:p w:rsidR="004D76DC" w:rsidRPr="004D76DC" w:rsidRDefault="004D76DC" w:rsidP="004D76DC">
      <w:pPr>
        <w:widowControl/>
        <w:spacing w:after="120" w:line="276" w:lineRule="auto"/>
        <w:ind w:firstLineChars="200" w:firstLine="600"/>
        <w:jc w:val="left"/>
        <w:rPr>
          <w:rFonts w:asciiTheme="minorEastAsia" w:hAnsiTheme="minorEastAsia" w:cs="Songti SC Regular" w:hint="eastAsia"/>
          <w:kern w:val="0"/>
          <w:sz w:val="30"/>
          <w:szCs w:val="30"/>
          <w:lang w:eastAsia="zh-Hans"/>
        </w:rPr>
      </w:pPr>
      <w:r w:rsidRPr="004D76DC">
        <w:rPr>
          <w:rFonts w:asciiTheme="minorEastAsia" w:hAnsiTheme="minorEastAsia" w:cs="Songti SC Regular" w:hint="eastAsia"/>
          <w:kern w:val="0"/>
          <w:sz w:val="30"/>
          <w:szCs w:val="30"/>
          <w:lang w:eastAsia="zh-Hans"/>
        </w:rPr>
        <w:t>为调动种粮农民积极性，稳定农民预期，合理保障农民种粮收益，2023年，中央财政下达我省实际种粮农民一次性补贴资金33177万元，要求各省抓紧做好资金拨付和项目组织实施等工作。省财政厅、省农业农村厅高度重视，及时印发了《辽宁省2023年实际种粮农民一次性补贴发放实施方案》（辽财农〔2023〕95号），并已下拨补贴资金。从目前掌握的情况看，部分地区发放进度缓慢。为督促各地区切实做好补贴资金拨付、发放等工作，现就有关事项通知如下：</w:t>
      </w:r>
    </w:p>
    <w:p w:rsidR="004D76DC" w:rsidRPr="004D76DC" w:rsidRDefault="004D76DC" w:rsidP="004D76DC">
      <w:pPr>
        <w:widowControl/>
        <w:spacing w:after="120" w:line="276" w:lineRule="auto"/>
        <w:ind w:firstLineChars="200" w:firstLine="643"/>
        <w:jc w:val="left"/>
        <w:rPr>
          <w:rFonts w:asciiTheme="minorEastAsia" w:hAnsiTheme="minorEastAsia" w:cs="Songti SC Regular" w:hint="eastAsia"/>
          <w:b/>
          <w:kern w:val="0"/>
          <w:sz w:val="32"/>
          <w:szCs w:val="32"/>
          <w:lang w:eastAsia="zh-Hans"/>
        </w:rPr>
      </w:pPr>
      <w:r w:rsidRPr="004D76DC">
        <w:rPr>
          <w:rFonts w:asciiTheme="minorEastAsia" w:hAnsiTheme="minorEastAsia" w:cs="Songti SC Regular" w:hint="eastAsia"/>
          <w:b/>
          <w:kern w:val="0"/>
          <w:sz w:val="32"/>
          <w:szCs w:val="32"/>
          <w:lang w:eastAsia="zh-Hans"/>
        </w:rPr>
        <w:t>一、强化责任担当</w:t>
      </w:r>
    </w:p>
    <w:p w:rsidR="004D76DC" w:rsidRPr="004D76DC" w:rsidRDefault="004D76DC" w:rsidP="004D76DC">
      <w:pPr>
        <w:widowControl/>
        <w:spacing w:after="120" w:line="276" w:lineRule="auto"/>
        <w:ind w:firstLineChars="200" w:firstLine="600"/>
        <w:jc w:val="left"/>
        <w:rPr>
          <w:rFonts w:asciiTheme="minorEastAsia" w:hAnsiTheme="minorEastAsia" w:cs="Songti SC Regular" w:hint="eastAsia"/>
          <w:kern w:val="0"/>
          <w:sz w:val="30"/>
          <w:szCs w:val="30"/>
        </w:rPr>
      </w:pPr>
      <w:r>
        <w:rPr>
          <w:rFonts w:asciiTheme="minorEastAsia" w:hAnsiTheme="minorEastAsia" w:cs="Songti SC Regular" w:hint="eastAsia"/>
          <w:kern w:val="0"/>
          <w:sz w:val="30"/>
          <w:szCs w:val="30"/>
          <w:lang w:eastAsia="zh-Hans"/>
        </w:rPr>
        <w:t>对实际种粮农民发放一次性补贴资金是健全完善粮食收益</w:t>
      </w:r>
      <w:r>
        <w:rPr>
          <w:rFonts w:asciiTheme="minorEastAsia" w:hAnsiTheme="minorEastAsia" w:cs="Songti SC Regular" w:hint="eastAsia"/>
          <w:kern w:val="0"/>
          <w:sz w:val="30"/>
          <w:szCs w:val="30"/>
        </w:rPr>
        <w:t>保</w:t>
      </w:r>
      <w:r w:rsidRPr="004D76DC">
        <w:rPr>
          <w:rFonts w:asciiTheme="minorEastAsia" w:hAnsiTheme="minorEastAsia" w:cs="Songti SC Regular" w:hint="eastAsia"/>
          <w:kern w:val="0"/>
          <w:sz w:val="30"/>
          <w:szCs w:val="30"/>
          <w:lang w:eastAsia="zh-Hans"/>
        </w:rPr>
        <w:t>障的一项重要政策，事关农民群众切身利益，涉及面广，敏感性强，时间紧、任务重。各市、县（市、区）要坚决履行国家粮食安全党政同责政治使命，提高政治站位，切实加强组织领导，统筹协调，健全完善财政、农业农村、发展改革等部门分工负责的工作机制，按照《辽宁省2023年实际种粮农民一次性补贴发</w:t>
      </w:r>
      <w:r w:rsidRPr="004D76DC">
        <w:rPr>
          <w:rFonts w:asciiTheme="minorEastAsia" w:hAnsiTheme="minorEastAsia" w:cs="Songti SC Regular" w:hint="eastAsia"/>
          <w:kern w:val="0"/>
          <w:sz w:val="30"/>
          <w:szCs w:val="30"/>
          <w:lang w:eastAsia="zh-Hans"/>
        </w:rPr>
        <w:lastRenderedPageBreak/>
        <w:t>放实施方案》明确的补贴对象、补贴依据、补贴标准和</w:t>
      </w:r>
      <w:r>
        <w:rPr>
          <w:rFonts w:asciiTheme="minorEastAsia" w:hAnsiTheme="minorEastAsia" w:cs="Songti SC Regular" w:hint="eastAsia"/>
          <w:kern w:val="0"/>
          <w:sz w:val="30"/>
          <w:szCs w:val="30"/>
          <w:lang w:eastAsia="zh-Hans"/>
        </w:rPr>
        <w:t>工作流程等要求，准确把握种粮农民一次性补贴的政策目标和管理要求</w:t>
      </w:r>
      <w:r>
        <w:rPr>
          <w:rFonts w:asciiTheme="minorEastAsia" w:hAnsiTheme="minorEastAsia" w:cs="Songti SC Regular" w:hint="eastAsia"/>
          <w:kern w:val="0"/>
          <w:sz w:val="30"/>
          <w:szCs w:val="30"/>
        </w:rPr>
        <w:t>,</w:t>
      </w:r>
      <w:r w:rsidRPr="004D76DC">
        <w:rPr>
          <w:rFonts w:asciiTheme="minorEastAsia" w:hAnsiTheme="minorEastAsia" w:cs="Songti SC Regular" w:hint="eastAsia"/>
          <w:kern w:val="0"/>
          <w:sz w:val="30"/>
          <w:szCs w:val="30"/>
          <w:lang w:eastAsia="zh-Hans"/>
        </w:rPr>
        <w:t>做好政策宣传和解读，与当地农发行等金融机构做好衔接，及时发放到位，充分发挥补贴资金使用效益。</w:t>
      </w:r>
    </w:p>
    <w:p w:rsidR="004D76DC" w:rsidRPr="004D76DC" w:rsidRDefault="004D76DC" w:rsidP="004D76DC">
      <w:pPr>
        <w:widowControl/>
        <w:spacing w:after="120" w:line="276" w:lineRule="auto"/>
        <w:ind w:firstLineChars="200" w:firstLine="643"/>
        <w:jc w:val="left"/>
        <w:rPr>
          <w:rFonts w:asciiTheme="minorEastAsia" w:hAnsiTheme="minorEastAsia" w:cs="Songti SC Regular" w:hint="eastAsia"/>
          <w:b/>
          <w:kern w:val="0"/>
          <w:sz w:val="32"/>
          <w:szCs w:val="32"/>
          <w:lang w:eastAsia="zh-Hans"/>
        </w:rPr>
      </w:pPr>
      <w:r w:rsidRPr="004D76DC">
        <w:rPr>
          <w:rFonts w:asciiTheme="minorEastAsia" w:hAnsiTheme="minorEastAsia" w:cs="Songti SC Regular" w:hint="eastAsia"/>
          <w:b/>
          <w:kern w:val="0"/>
          <w:sz w:val="32"/>
          <w:szCs w:val="32"/>
          <w:lang w:eastAsia="zh-Hans"/>
        </w:rPr>
        <w:t>二、强化资金监管</w:t>
      </w:r>
    </w:p>
    <w:p w:rsidR="004D76DC" w:rsidRPr="004D76DC" w:rsidRDefault="004D76DC" w:rsidP="004D76DC">
      <w:pPr>
        <w:widowControl/>
        <w:spacing w:after="120" w:line="276" w:lineRule="auto"/>
        <w:ind w:firstLineChars="200" w:firstLine="600"/>
        <w:jc w:val="left"/>
        <w:rPr>
          <w:rFonts w:asciiTheme="minorEastAsia" w:hAnsiTheme="minorEastAsia" w:cs="Songti SC Regular" w:hint="eastAsia"/>
          <w:kern w:val="0"/>
          <w:sz w:val="30"/>
          <w:szCs w:val="30"/>
          <w:lang w:eastAsia="zh-Hans"/>
        </w:rPr>
      </w:pPr>
      <w:r w:rsidRPr="004D76DC">
        <w:rPr>
          <w:rFonts w:asciiTheme="minorEastAsia" w:hAnsiTheme="minorEastAsia" w:cs="Songti SC Regular" w:hint="eastAsia"/>
          <w:kern w:val="0"/>
          <w:sz w:val="30"/>
          <w:szCs w:val="30"/>
          <w:lang w:eastAsia="zh-Hans"/>
        </w:rPr>
        <w:t>要加大资金监管力度，保障资金安全，建立抽查及专项核查机制，利用大数据辅助核对，强化资金的审核和监管。农业农村部门要充分运用现代化信息手段，利用上年度相关补贴发放基础数据、种粮大户和新型农业经营主体身份信息数据等，做好种粮农民身份识别、补贴面积核实等工作，财政部门要科学调度国库资金，通过事中随机抽查、事后专项核查、大数据辅助核对等方式，切实加快补贴资金发放进度，确保资金专款专用，通过“一卡通”系统发放到补贴对象手中。要强化补贴资金监管，严肃财经纪律，严禁以任何形式、任何理由滞拨、欠拨、挤占、截留、挪用补贴资金。</w:t>
      </w:r>
    </w:p>
    <w:p w:rsidR="004D76DC" w:rsidRPr="004D76DC" w:rsidRDefault="004D76DC" w:rsidP="004D76DC">
      <w:pPr>
        <w:widowControl/>
        <w:spacing w:after="120" w:line="276" w:lineRule="auto"/>
        <w:ind w:firstLineChars="200" w:firstLine="643"/>
        <w:jc w:val="left"/>
        <w:rPr>
          <w:rFonts w:asciiTheme="minorEastAsia" w:hAnsiTheme="minorEastAsia" w:cs="Songti SC Regular" w:hint="eastAsia"/>
          <w:b/>
          <w:kern w:val="0"/>
          <w:sz w:val="32"/>
          <w:szCs w:val="32"/>
          <w:lang w:eastAsia="zh-Hans"/>
        </w:rPr>
      </w:pPr>
      <w:r w:rsidRPr="004D76DC">
        <w:rPr>
          <w:rFonts w:asciiTheme="minorEastAsia" w:hAnsiTheme="minorEastAsia" w:cs="Songti SC Regular" w:hint="eastAsia"/>
          <w:b/>
          <w:kern w:val="0"/>
          <w:sz w:val="32"/>
          <w:szCs w:val="32"/>
          <w:lang w:eastAsia="zh-Hans"/>
        </w:rPr>
        <w:t>三、强化调度督导</w:t>
      </w:r>
    </w:p>
    <w:p w:rsidR="004D76DC" w:rsidRPr="004D76DC" w:rsidRDefault="004D76DC" w:rsidP="004D76DC">
      <w:pPr>
        <w:widowControl/>
        <w:spacing w:after="120" w:line="276" w:lineRule="auto"/>
        <w:ind w:firstLineChars="200" w:firstLine="600"/>
        <w:jc w:val="left"/>
        <w:rPr>
          <w:rFonts w:asciiTheme="minorEastAsia" w:hAnsiTheme="minorEastAsia" w:cs="Songti SC Regular" w:hint="eastAsia"/>
          <w:kern w:val="0"/>
          <w:sz w:val="30"/>
          <w:szCs w:val="30"/>
        </w:rPr>
      </w:pPr>
      <w:r w:rsidRPr="004D76DC">
        <w:rPr>
          <w:rFonts w:asciiTheme="minorEastAsia" w:hAnsiTheme="minorEastAsia" w:cs="Songti SC Regular" w:hint="eastAsia"/>
          <w:kern w:val="0"/>
          <w:sz w:val="30"/>
          <w:szCs w:val="30"/>
          <w:lang w:eastAsia="zh-Hans"/>
        </w:rPr>
        <w:t>各级财政、农业农村部门要建立定期调度机制，跟踪资金拨付进展情况，做好执行分析，主要包括补贴资金发放额度、发放进度、存在的问题、采取的措施以及预计发放完毕时间。对资金拨付明显偏慢、补贴发放带后、工作不力的地区，应通过调研、</w:t>
      </w:r>
      <w:r w:rsidRPr="004D76DC">
        <w:rPr>
          <w:rFonts w:asciiTheme="minorEastAsia" w:hAnsiTheme="minorEastAsia" w:cs="Songti SC Regular" w:hint="eastAsia"/>
          <w:kern w:val="0"/>
          <w:sz w:val="30"/>
          <w:szCs w:val="30"/>
          <w:lang w:eastAsia="zh-Hans"/>
        </w:rPr>
        <w:lastRenderedPageBreak/>
        <w:t>通报、约谈等方式进行重点督导。请于6月5日前，将补贴发放情况以正式文件形式报送省财政厅和省农业农村厅。</w:t>
      </w:r>
    </w:p>
    <w:p w:rsidR="004D76DC" w:rsidRDefault="004D76DC" w:rsidP="004D76DC">
      <w:pPr>
        <w:widowControl/>
        <w:spacing w:after="120" w:line="276" w:lineRule="auto"/>
        <w:jc w:val="left"/>
        <w:rPr>
          <w:rFonts w:asciiTheme="minorEastAsia" w:hAnsiTheme="minorEastAsia" w:cs="Songti SC Regular" w:hint="eastAsia"/>
          <w:kern w:val="0"/>
          <w:sz w:val="30"/>
          <w:szCs w:val="30"/>
        </w:rPr>
      </w:pPr>
    </w:p>
    <w:p w:rsidR="004D76DC" w:rsidRDefault="004D76DC" w:rsidP="004D76DC">
      <w:pPr>
        <w:widowControl/>
        <w:spacing w:after="120" w:line="276" w:lineRule="auto"/>
        <w:jc w:val="left"/>
        <w:rPr>
          <w:rFonts w:asciiTheme="minorEastAsia" w:hAnsiTheme="minorEastAsia" w:cs="Songti SC Regular" w:hint="eastAsia"/>
          <w:kern w:val="0"/>
          <w:sz w:val="30"/>
          <w:szCs w:val="30"/>
        </w:rPr>
      </w:pPr>
    </w:p>
    <w:p w:rsidR="004D76DC" w:rsidRDefault="004D76DC" w:rsidP="004D76DC">
      <w:pPr>
        <w:widowControl/>
        <w:spacing w:after="120" w:line="276" w:lineRule="auto"/>
        <w:jc w:val="left"/>
        <w:rPr>
          <w:rFonts w:asciiTheme="minorEastAsia" w:hAnsiTheme="minorEastAsia" w:cs="Songti SC Regular" w:hint="eastAsia"/>
          <w:kern w:val="0"/>
          <w:sz w:val="30"/>
          <w:szCs w:val="30"/>
        </w:rPr>
      </w:pPr>
    </w:p>
    <w:p w:rsidR="004D76DC" w:rsidRPr="004D76DC" w:rsidRDefault="004D76DC" w:rsidP="004D76DC">
      <w:pPr>
        <w:widowControl/>
        <w:spacing w:after="120" w:line="276" w:lineRule="auto"/>
        <w:ind w:firstLineChars="150" w:firstLine="450"/>
        <w:jc w:val="left"/>
        <w:rPr>
          <w:rFonts w:asciiTheme="minorEastAsia" w:hAnsiTheme="minorEastAsia" w:cs="Songti SC Regular" w:hint="eastAsia"/>
          <w:kern w:val="0"/>
          <w:sz w:val="30"/>
          <w:szCs w:val="30"/>
        </w:rPr>
      </w:pPr>
      <w:r>
        <w:rPr>
          <w:rFonts w:asciiTheme="minorEastAsia" w:hAnsiTheme="minorEastAsia" w:cs="Songti SC Regular" w:hint="eastAsia"/>
          <w:kern w:val="0"/>
          <w:sz w:val="30"/>
          <w:szCs w:val="30"/>
        </w:rPr>
        <w:t>辽宁</w:t>
      </w:r>
      <w:r w:rsidRPr="004D76DC">
        <w:rPr>
          <w:rFonts w:asciiTheme="minorEastAsia" w:hAnsiTheme="minorEastAsia" w:cs="Songti SC Regular" w:hint="eastAsia"/>
          <w:kern w:val="0"/>
          <w:sz w:val="30"/>
          <w:szCs w:val="30"/>
          <w:lang w:eastAsia="zh-Hans"/>
        </w:rPr>
        <w:t>省财</w:t>
      </w:r>
      <w:r>
        <w:rPr>
          <w:rFonts w:asciiTheme="minorEastAsia" w:hAnsiTheme="minorEastAsia" w:cs="Songti SC Regular" w:hint="eastAsia"/>
          <w:kern w:val="0"/>
          <w:sz w:val="30"/>
          <w:szCs w:val="30"/>
        </w:rPr>
        <w:t xml:space="preserve">政厅                 辽宁省农业农村厅      </w:t>
      </w:r>
    </w:p>
    <w:p w:rsidR="004D76DC" w:rsidRDefault="004D76DC" w:rsidP="004D76DC">
      <w:pPr>
        <w:widowControl/>
        <w:spacing w:after="120" w:line="276" w:lineRule="auto"/>
        <w:ind w:firstLineChars="1300" w:firstLine="3900"/>
        <w:jc w:val="left"/>
        <w:rPr>
          <w:rFonts w:asciiTheme="minorEastAsia" w:hAnsiTheme="minorEastAsia" w:cs="Songti SC Regular" w:hint="eastAsia"/>
          <w:kern w:val="0"/>
          <w:sz w:val="30"/>
          <w:szCs w:val="30"/>
        </w:rPr>
      </w:pPr>
    </w:p>
    <w:p w:rsidR="004D76DC" w:rsidRPr="004D76DC" w:rsidRDefault="004D76DC" w:rsidP="004D76DC">
      <w:pPr>
        <w:widowControl/>
        <w:spacing w:after="120" w:line="276" w:lineRule="auto"/>
        <w:ind w:firstLineChars="1300" w:firstLine="3900"/>
        <w:jc w:val="left"/>
        <w:rPr>
          <w:rFonts w:asciiTheme="minorEastAsia" w:hAnsiTheme="minorEastAsia" w:cs="Songti SC Regular" w:hint="eastAsia"/>
          <w:kern w:val="0"/>
          <w:sz w:val="30"/>
          <w:szCs w:val="30"/>
          <w:lang w:eastAsia="zh-Hans"/>
        </w:rPr>
      </w:pPr>
      <w:bookmarkStart w:id="0" w:name="_GoBack"/>
      <w:bookmarkEnd w:id="0"/>
      <w:r w:rsidRPr="004D76DC">
        <w:rPr>
          <w:rFonts w:asciiTheme="minorEastAsia" w:hAnsiTheme="minorEastAsia" w:cs="Songti SC Regular" w:hint="eastAsia"/>
          <w:kern w:val="0"/>
          <w:sz w:val="30"/>
          <w:szCs w:val="30"/>
          <w:lang w:eastAsia="zh-Hans"/>
        </w:rPr>
        <w:t>2023年5月30日</w:t>
      </w:r>
    </w:p>
    <w:p w:rsidR="004D76DC" w:rsidRPr="004D76DC" w:rsidRDefault="004D76DC" w:rsidP="004D76DC">
      <w:pPr>
        <w:widowControl/>
        <w:spacing w:after="120" w:line="276" w:lineRule="auto"/>
        <w:jc w:val="left"/>
        <w:rPr>
          <w:rFonts w:asciiTheme="minorEastAsia" w:hAnsiTheme="minorEastAsia" w:cs="Songti SC Regular" w:hint="eastAsia"/>
          <w:kern w:val="0"/>
          <w:sz w:val="30"/>
          <w:szCs w:val="30"/>
          <w:lang w:eastAsia="zh-Hans"/>
        </w:rPr>
      </w:pPr>
    </w:p>
    <w:p w:rsidR="00A7452C" w:rsidRPr="004D76DC" w:rsidRDefault="00A7452C">
      <w:pPr>
        <w:rPr>
          <w:rFonts w:asciiTheme="minorEastAsia" w:hAnsiTheme="minorEastAsia"/>
          <w:sz w:val="32"/>
          <w:szCs w:val="32"/>
        </w:rPr>
      </w:pPr>
    </w:p>
    <w:sectPr w:rsidR="00A7452C" w:rsidRPr="004D76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ongti SC Regular">
    <w:altName w:val="Arial Unicode MS"/>
    <w:charset w:val="86"/>
    <w:family w:val="auto"/>
    <w:pitch w:val="default"/>
    <w:sig w:usb0="00000000" w:usb1="080F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6DC"/>
    <w:rsid w:val="004D76DC"/>
    <w:rsid w:val="00A7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7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</Words>
  <Characters>902</Characters>
  <Application>Microsoft Office Word</Application>
  <DocSecurity>0</DocSecurity>
  <Lines>7</Lines>
  <Paragraphs>2</Paragraphs>
  <ScaleCrop>false</ScaleCrop>
  <Company>China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xbany</dc:creator>
  <cp:lastModifiedBy>xbany</cp:lastModifiedBy>
  <cp:revision>2</cp:revision>
  <dcterms:created xsi:type="dcterms:W3CDTF">2023-12-29T07:53:00Z</dcterms:created>
  <dcterms:modified xsi:type="dcterms:W3CDTF">2023-12-29T08:01:00Z</dcterms:modified>
</cp:coreProperties>
</file>