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仿宋_GB2312" w:hAnsi="Courier New" w:eastAsia="仿宋_GB2312" w:cs="Courier New"/>
          <w:sz w:val="32"/>
          <w:szCs w:val="21"/>
          <w14:ligatures w14:val="none"/>
        </w:rPr>
      </w:pPr>
    </w:p>
    <w:p>
      <w:pPr>
        <w:spacing w:line="440" w:lineRule="exact"/>
        <w:jc w:val="center"/>
        <w:rPr>
          <w:rFonts w:ascii="楷体_GB2312" w:hAnsi="楷体_GB2312" w:eastAsia="楷体_GB2312" w:cs="楷体_GB2312"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kern w:val="32"/>
          <w:sz w:val="32"/>
          <w:szCs w:val="32"/>
          <w14:ligatures w14:val="none"/>
        </w:rPr>
        <w:t>铁清财发</w:t>
      </w:r>
      <w:r>
        <w:rPr>
          <w:rFonts w:hint="eastAsia" w:ascii="楷体_GB2312" w:hAnsi="楷体_GB2312" w:eastAsia="楷体_GB2312" w:cs="楷体_GB2312"/>
          <w:sz w:val="32"/>
          <w:szCs w:val="32"/>
          <w14:ligatures w14:val="none"/>
        </w:rPr>
        <w:t>〔202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none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14:ligatures w14:val="none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none"/>
        </w:rPr>
        <w:t>31</w:t>
      </w:r>
      <w:r>
        <w:rPr>
          <w:rFonts w:hint="eastAsia" w:ascii="楷体_GB2312" w:hAnsi="楷体_GB2312" w:eastAsia="楷体_GB2312" w:cs="楷体_GB2312"/>
          <w:sz w:val="32"/>
          <w:szCs w:val="32"/>
          <w14:ligatures w14:val="none"/>
        </w:rPr>
        <w:t>号</w:t>
      </w:r>
    </w:p>
    <w:p>
      <w:pPr>
        <w:jc w:val="center"/>
        <w:rPr>
          <w:rFonts w:ascii="黑体" w:hAnsi="Courier New" w:eastAsia="黑体" w:cs="Courier New"/>
          <w:sz w:val="36"/>
          <w:szCs w:val="36"/>
          <w14:ligatures w14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7" w:line="221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14:ligatures w14:val="none"/>
        </w:rPr>
        <w:t>清河区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44"/>
          <w:szCs w:val="44"/>
          <w14:ligatures w14:val="none"/>
        </w:rPr>
        <w:t>财政局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  <w:t>关于下达202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  <w:t>4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  <w:t>年第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:lang w:val="en-US" w:eastAsia="zh-CN"/>
          <w14:ligatures w14:val="none"/>
        </w:rPr>
        <w:t>3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  <w:t>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7" w:line="221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14:ligatures w14:val="none"/>
        </w:rPr>
        <w:t>财政衔接推进乡村振兴补助资金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7" w:line="221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14:ligatures w14:val="none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44"/>
          <w:szCs w:val="44"/>
          <w14:ligatures w14:val="none"/>
        </w:rPr>
        <w:t>绩效目标批复的通知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14:ligatures w14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8" w:line="221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14:ligatures w14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乡村振兴局：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 xml:space="preserve">根据《财政专项扶贫资金绩效管理操作指南(试行)》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(财办农〔2019〕68号)等相关文件要求，现将审核通过的 2024年第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批财政衔接推进乡村振兴补助资金项目绩效目标批复给你单位，并就有关事项通知如下。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一、本次批复的绩效目标将作为绩效运行监控、绩效自评、绩效自评抽查或重点绩效评价的重要依据，绩效目标批复后，原则上不作调整，预算执行中因特殊原因确需调整的，按规定程序办理。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二、 请你单位在绩效目标批复后20个工作日内将绩效目标表在政府门户网站上予以公开。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三、 预算执行中，你单位应建立项目绩效目标运行监控机制，定期对预算和绩效目标执行情况进行跟踪分析，以确保绩效目标不偏离。定期向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财政局报送绩效目标运行监控表。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四、项目竣工后或每年度预算执行终了，要开展绩效自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评，并将绩效自评结果予以公开。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请按本次批复的通知，认真落实绩效管理各个环节工作要求，充分发挥资金使用效益，提高管理水平，确保年度绩效目标如期实现。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附件：2024年第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批财政衔接推进乡村振兴补助资金项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目绩效目标表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铁岭市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 xml:space="preserve">清河区财政局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 xml:space="preserve">                    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年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>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  <w14:ligatures w14:val="none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  <w:t xml:space="preserve">日    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14:ligatures w14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cs="Arial"/>
          <w:snapToGrid w:val="0"/>
          <w:color w:val="000000"/>
          <w:kern w:val="0"/>
          <w:szCs w:val="21"/>
          <w14:ligatures w14:val="none"/>
        </w:rPr>
        <w:sectPr>
          <w:footerReference r:id="rId3" w:type="default"/>
          <w:pgSz w:w="11900" w:h="16830"/>
          <w:pgMar w:top="1430" w:right="1785" w:bottom="1607" w:left="1785" w:header="0" w:footer="129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14:ligatures w14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541" w:lineRule="exact"/>
        <w:ind w:left="575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14:ligatures w14:val="none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202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4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年第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:lang w:val="en-US" w:eastAsia="zh-CN"/>
          <w14:ligatures w14:val="none"/>
        </w:rPr>
        <w:t>3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批财政衔接推进乡村振兴补助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position w:val="16"/>
          <w:sz w:val="31"/>
          <w:szCs w:val="31"/>
          <w14:ligatures w14:val="none"/>
        </w:rPr>
        <w:t>资金项目绩效目标表</w:t>
      </w:r>
    </w:p>
    <w:tbl>
      <w:tblPr>
        <w:tblStyle w:val="5"/>
        <w:tblW w:w="140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785"/>
        <w:gridCol w:w="1137"/>
        <w:gridCol w:w="600"/>
        <w:gridCol w:w="935"/>
        <w:gridCol w:w="831"/>
        <w:gridCol w:w="576"/>
        <w:gridCol w:w="1748"/>
        <w:gridCol w:w="965"/>
        <w:gridCol w:w="714"/>
        <w:gridCol w:w="1206"/>
        <w:gridCol w:w="2235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项目类别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项目名称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建设性质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实施地点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责任单位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时间进度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建设任务及规模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筹资方式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预算投入资金规模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受益对象（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脱贫户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监测户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及村民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绩效目标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群众参与联农带农情况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产业发展项目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张相镇首岳食品有限公司债权项目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张相镇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张相镇人民政府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债权投资296万元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衔接推进乡村振兴补助资金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296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脱贫户490户944人监测户1户2人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巩固全区脱贫户490户944人监测户1户2人增收，提高产业帮扶人均收益188元，群众满意度高于90%。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群众监督机制：为脱贫户提供产业分红，提高脱贫户人均收入。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基础设施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十八道村基础设施村建设项目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十八道村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张相镇人民政府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边沟1000米，及其它配套设施。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衔接推进乡村振兴补助资金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473户1530人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建设村内基础设施，人居环境改善，群众满意度超过90%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群众民主议事决策机制；改善人居环境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基础设施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南台养殖小区蓄粪池建设项目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南台村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张相镇人民政府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1000立方米储粪池。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衔接推进乡村振兴补助资金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29.34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760户2113人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建设产业配套基础设施，提升产业配套升级，群众满意度超过90%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群众民主议事决策机制；实现产业配套升级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基础设施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杨木林子镇郎家屯村基础设施建设项目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郎家屯村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杨木林子镇人民政府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边沟1600米，及其他配套基础设施。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衔接推进乡村振兴补助资金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304户1080人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建设村内基础设施，人居环境改善，群众满意度超过90%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群众民主议事决策机制，改善人居环境。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基础设施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聂家乡曾家屯村基础设施建设项目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曾家屯村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聂家满族乡人民政府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边沟1100米，及其他配套基础设施。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衔接推进乡村振兴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292户961人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建设村内基础设施，人居环境改善，群众满意度超过90%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群众民主议事决策机制；改善人居环境。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基础设施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红旗街后马村基础设施建设项目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后马村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红旗街道办事处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水渠560米，水泥路2355米，路灯72盏及配套基础设施。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衔接推进乡村振兴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79.36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813户2254人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建设村内基础设施，人居环境改善，群众满意度超过90%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群众民主议事决策机制，改善人居环境。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入股沃尔丰农业科技（辽宁）有限公司发展农产品加工项目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聂家满族乡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投入沃尔丰农业科技（辽宁）有限公司债权100万元。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壮大村集体经济资金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高标准温室大棚项目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建设高标准温室采摘大棚项目，设计高标准温室大棚3座。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壮大村集体经济资金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入股辽宁马丫食品有限公司发展农产品加工项目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红旗街道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2024.7-2024.12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投入马丫食品有限公司债权100万元。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壮大村集体经济资金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933.7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107" w:line="221" w:lineRule="auto"/>
        <w:jc w:val="both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  <w14:ligatures w14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GNmNzVhY2I2NzQ4NzVjNDhiMTZjN2E2NDQzNjYifQ=="/>
  </w:docVars>
  <w:rsids>
    <w:rsidRoot w:val="007A3410"/>
    <w:rsid w:val="001A16E4"/>
    <w:rsid w:val="00243419"/>
    <w:rsid w:val="002C2440"/>
    <w:rsid w:val="004D5ECC"/>
    <w:rsid w:val="004F54BC"/>
    <w:rsid w:val="005E65BE"/>
    <w:rsid w:val="00674DBF"/>
    <w:rsid w:val="007653C8"/>
    <w:rsid w:val="007A3410"/>
    <w:rsid w:val="00902274"/>
    <w:rsid w:val="00A0381C"/>
    <w:rsid w:val="00BB5817"/>
    <w:rsid w:val="00D066DB"/>
    <w:rsid w:val="029F67A3"/>
    <w:rsid w:val="0A8E2623"/>
    <w:rsid w:val="0D5E704A"/>
    <w:rsid w:val="0EC1177B"/>
    <w:rsid w:val="12623A86"/>
    <w:rsid w:val="1619588C"/>
    <w:rsid w:val="22E347F7"/>
    <w:rsid w:val="3ACF0529"/>
    <w:rsid w:val="4B540256"/>
    <w:rsid w:val="51460DF7"/>
    <w:rsid w:val="6B8C1C73"/>
    <w:rsid w:val="7A7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10</Pages>
  <Words>1340</Words>
  <Characters>7639</Characters>
  <Lines>63</Lines>
  <Paragraphs>17</Paragraphs>
  <TotalTime>29</TotalTime>
  <ScaleCrop>false</ScaleCrop>
  <LinksUpToDate>false</LinksUpToDate>
  <CharactersWithSpaces>8962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2023-11-13T01:14:00Z</dcterms:created>
  <dc:creator>cyb</dc:creator>
  <cp:lastModifiedBy>猫小逗</cp:lastModifiedBy>
  <cp:lastPrinted>2024-10-10T08:06:15Z</cp:lastPrinted>
  <dcterms:modified xsi:type="dcterms:W3CDTF">2024-10-10T08:07:37Z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684413D32CB94E3FABEFFA9BA45DFD28_12</vt:lpwstr>
  </property>
</Properties>
</file>