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29785">
      <w:pPr>
        <w:rPr>
          <w:rFonts w:ascii="宋体" w:hAnsi="宋体" w:eastAsia="宋体"/>
          <w:b/>
          <w:bCs/>
          <w:sz w:val="44"/>
          <w:szCs w:val="44"/>
        </w:rPr>
      </w:pPr>
      <w:r>
        <w:rPr>
          <w:rFonts w:hint="eastAsia" w:ascii="宋体" w:hAnsi="宋体" w:eastAsia="宋体"/>
          <w:b/>
          <w:bCs/>
          <w:sz w:val="44"/>
          <w:szCs w:val="44"/>
        </w:rPr>
        <w:t>清河区2024年预算绩效管理工作开展情况</w:t>
      </w:r>
    </w:p>
    <w:p w14:paraId="5D51E713">
      <w:pPr>
        <w:rPr>
          <w:rFonts w:hint="eastAsia" w:ascii="宋体" w:hAnsi="宋体" w:eastAsia="宋体"/>
          <w:sz w:val="32"/>
          <w:szCs w:val="32"/>
        </w:rPr>
      </w:pPr>
    </w:p>
    <w:p w14:paraId="2A1A992C">
      <w:pPr>
        <w:ind w:firstLine="640" w:firstLineChars="200"/>
        <w:rPr>
          <w:rFonts w:hint="eastAsia" w:ascii="宋体" w:hAnsi="宋体" w:eastAsia="宋体"/>
          <w:sz w:val="32"/>
          <w:szCs w:val="32"/>
        </w:rPr>
      </w:pPr>
      <w:r>
        <w:rPr>
          <w:rFonts w:hint="eastAsia" w:ascii="宋体" w:hAnsi="宋体" w:eastAsia="宋体"/>
          <w:sz w:val="32"/>
          <w:szCs w:val="32"/>
        </w:rPr>
        <w:t xml:space="preserve">预算绩效管理作为财政科学化、精细化管理的重要内容，是提升政府效能的重要抓手，是加强财政资金分配和财政支出控制、提高财政资金使用效益的重要手段。我区自启动预算绩效管理工作以来，正按照中央及省、市的要求逐步有序推进，2024年，我区继续积极推进预算绩效管理工作，已基本建成全方位、全过程、全覆盖的预算绩效管理体系。 </w:t>
      </w:r>
    </w:p>
    <w:p w14:paraId="5972FB95">
      <w:pPr>
        <w:rPr>
          <w:rFonts w:hint="eastAsia" w:ascii="宋体" w:hAnsi="宋体" w:eastAsia="宋体"/>
          <w:sz w:val="32"/>
          <w:szCs w:val="32"/>
        </w:rPr>
      </w:pPr>
      <w:r>
        <w:rPr>
          <w:rFonts w:hint="eastAsia" w:ascii="宋体" w:hAnsi="宋体" w:eastAsia="宋体"/>
          <w:sz w:val="32"/>
          <w:szCs w:val="32"/>
        </w:rPr>
        <w:t>一、2024年预算绩效管理工作完成情况</w:t>
      </w:r>
    </w:p>
    <w:p w14:paraId="2B2A71BA">
      <w:pPr>
        <w:ind w:firstLine="640" w:firstLineChars="200"/>
        <w:rPr>
          <w:rFonts w:hint="eastAsia" w:ascii="宋体" w:hAnsi="宋体" w:eastAsia="宋体"/>
          <w:sz w:val="32"/>
          <w:szCs w:val="32"/>
        </w:rPr>
      </w:pPr>
      <w:r>
        <w:rPr>
          <w:rFonts w:hint="eastAsia" w:ascii="宋体" w:hAnsi="宋体" w:eastAsia="宋体"/>
          <w:sz w:val="32"/>
          <w:szCs w:val="32"/>
        </w:rPr>
        <w:t>2024年我区继续深入贯彻落实中央及省、市关于全面实施预算绩效管理的指导意见，持续狠抓预算绩效管理，以绩效目标实现为导向，严格进行绩效监控，提高绩效评价质量，预算绩效管理成效显著。</w:t>
      </w:r>
    </w:p>
    <w:p w14:paraId="1659A3F2">
      <w:pPr>
        <w:rPr>
          <w:rFonts w:hint="eastAsia" w:ascii="宋体" w:hAnsi="宋体" w:eastAsia="宋体"/>
          <w:b/>
          <w:sz w:val="32"/>
          <w:szCs w:val="32"/>
        </w:rPr>
      </w:pPr>
      <w:r>
        <w:rPr>
          <w:rFonts w:hint="eastAsia" w:ascii="宋体" w:hAnsi="宋体" w:eastAsia="宋体"/>
          <w:b/>
          <w:sz w:val="32"/>
          <w:szCs w:val="32"/>
        </w:rPr>
        <w:t>（一）抓好绩效目标编制，提高绩效目标管理水平。</w:t>
      </w:r>
    </w:p>
    <w:p w14:paraId="07F3374F">
      <w:pPr>
        <w:ind w:firstLine="640" w:firstLineChars="200"/>
        <w:rPr>
          <w:rFonts w:hint="eastAsia" w:ascii="宋体" w:hAnsi="宋体" w:eastAsia="宋体"/>
          <w:sz w:val="32"/>
          <w:szCs w:val="32"/>
        </w:rPr>
      </w:pPr>
      <w:r>
        <w:rPr>
          <w:rFonts w:hint="eastAsia" w:ascii="宋体" w:hAnsi="宋体" w:eastAsia="宋体"/>
          <w:sz w:val="32"/>
          <w:szCs w:val="32"/>
        </w:rPr>
        <w:t>按照“谁申请资金，谁编制目标”的原则，</w:t>
      </w:r>
      <w:r>
        <w:rPr>
          <w:rFonts w:hint="eastAsia" w:ascii="宋体" w:hAnsi="宋体" w:eastAsia="宋体"/>
          <w:bCs/>
          <w:sz w:val="32"/>
          <w:szCs w:val="32"/>
        </w:rPr>
        <w:t>根据市级关于预算绩效管理的有关具体要求，对2024年度绩效目标编报工作进行严密组织、科学谋划，编制部门整体绩效目标，要求绩效指标设置从定性向定量深化，避免指标设定出现不清晰、不可衡量等情况，全区105家单位全部按要求完成整体绩效目标编报。</w:t>
      </w:r>
    </w:p>
    <w:p w14:paraId="189D949D">
      <w:pPr>
        <w:rPr>
          <w:rFonts w:hint="eastAsia" w:ascii="宋体" w:hAnsi="宋体" w:eastAsia="宋体"/>
          <w:b/>
          <w:sz w:val="32"/>
          <w:szCs w:val="32"/>
        </w:rPr>
      </w:pPr>
      <w:r>
        <w:rPr>
          <w:rFonts w:hint="eastAsia" w:ascii="宋体" w:hAnsi="宋体" w:eastAsia="宋体"/>
          <w:b/>
          <w:sz w:val="32"/>
          <w:szCs w:val="32"/>
        </w:rPr>
        <w:t>（二）加强绩效运行监控，提高财政资金运行效率。</w:t>
      </w:r>
    </w:p>
    <w:p w14:paraId="705B0660">
      <w:pPr>
        <w:ind w:firstLine="640" w:firstLineChars="200"/>
        <w:rPr>
          <w:rFonts w:hint="eastAsia" w:ascii="宋体" w:hAnsi="宋体" w:eastAsia="宋体"/>
          <w:sz w:val="32"/>
          <w:szCs w:val="32"/>
        </w:rPr>
      </w:pPr>
      <w:r>
        <w:rPr>
          <w:rFonts w:hint="eastAsia" w:ascii="宋体" w:hAnsi="宋体" w:eastAsia="宋体"/>
          <w:sz w:val="32"/>
          <w:szCs w:val="32"/>
        </w:rPr>
        <w:t>绩效运行监控采取单位集中监控和财政重点监控相结合的方式，做到财政资金运用到哪里，绩效监控就跟踪到哪里，防范财政资金运行风险。2024年</w:t>
      </w:r>
      <w:r>
        <w:rPr>
          <w:rFonts w:hint="eastAsia" w:ascii="宋体" w:hAnsi="宋体" w:eastAsia="宋体"/>
          <w:sz w:val="32"/>
          <w:szCs w:val="32"/>
          <w:lang w:val="en-US" w:eastAsia="zh-CN"/>
        </w:rPr>
        <w:t>10</w:t>
      </w:r>
      <w:r>
        <w:rPr>
          <w:rFonts w:hint="eastAsia" w:ascii="宋体" w:hAnsi="宋体" w:eastAsia="宋体"/>
          <w:sz w:val="32"/>
          <w:szCs w:val="32"/>
        </w:rPr>
        <w:t>月完成对全区104家单位的整体绩效运行监控和358条项目支出绩效运行监控。</w:t>
      </w:r>
    </w:p>
    <w:p w14:paraId="63135165">
      <w:pPr>
        <w:rPr>
          <w:rFonts w:hint="eastAsia" w:ascii="宋体" w:hAnsi="宋体" w:eastAsia="宋体"/>
          <w:b/>
          <w:sz w:val="32"/>
          <w:szCs w:val="32"/>
        </w:rPr>
      </w:pPr>
      <w:r>
        <w:rPr>
          <w:rFonts w:hint="eastAsia" w:ascii="宋体" w:hAnsi="宋体" w:eastAsia="宋体"/>
          <w:b/>
          <w:sz w:val="32"/>
          <w:szCs w:val="32"/>
        </w:rPr>
        <w:t>（三）深入开展绩效评价，实现绩效自评全覆盖</w:t>
      </w:r>
    </w:p>
    <w:p w14:paraId="180FF38E">
      <w:pPr>
        <w:ind w:firstLine="640" w:firstLineChars="200"/>
        <w:rPr>
          <w:rFonts w:hint="eastAsia" w:ascii="宋体" w:hAnsi="宋体" w:eastAsia="宋体"/>
          <w:sz w:val="32"/>
          <w:szCs w:val="32"/>
        </w:rPr>
      </w:pPr>
      <w:r>
        <w:rPr>
          <w:rFonts w:hint="eastAsia" w:ascii="宋体" w:hAnsi="宋体" w:eastAsia="宋体"/>
          <w:sz w:val="32"/>
          <w:szCs w:val="32"/>
        </w:rPr>
        <w:t>对202</w:t>
      </w:r>
      <w:r>
        <w:rPr>
          <w:rFonts w:hint="eastAsia" w:ascii="宋体" w:hAnsi="宋体" w:eastAsia="宋体"/>
          <w:sz w:val="32"/>
          <w:szCs w:val="32"/>
          <w:lang w:val="en-US" w:eastAsia="zh-CN"/>
        </w:rPr>
        <w:t>3</w:t>
      </w:r>
      <w:r>
        <w:rPr>
          <w:rFonts w:hint="eastAsia" w:ascii="宋体" w:hAnsi="宋体" w:eastAsia="宋体"/>
          <w:sz w:val="32"/>
          <w:szCs w:val="32"/>
        </w:rPr>
        <w:t>年度绩效自评实现了全覆盖，全区共104家预算单位全部按要求完成了整体绩效自评，所有预算单位都能按照设定的绩效目标结合预算资金实际执行情况和绩效目标完成情况开展自评自查，自评报告基本都能做到完整规范、按时报送，自评总得分不高的原因主要是项目执行金额未达到年初预算，导致项目执行率偏低。</w:t>
      </w:r>
    </w:p>
    <w:p w14:paraId="36FF4AE7">
      <w:pPr>
        <w:rPr>
          <w:rFonts w:hint="eastAsia" w:ascii="宋体" w:hAnsi="宋体" w:eastAsia="宋体"/>
          <w:b/>
          <w:sz w:val="32"/>
          <w:szCs w:val="32"/>
        </w:rPr>
      </w:pPr>
      <w:r>
        <w:rPr>
          <w:rFonts w:hint="eastAsia" w:ascii="宋体" w:hAnsi="宋体" w:eastAsia="宋体"/>
          <w:b/>
          <w:sz w:val="32"/>
          <w:szCs w:val="32"/>
        </w:rPr>
        <w:t>（四）开展绩效自评抽查，提高绩效监管水平</w:t>
      </w:r>
    </w:p>
    <w:p w14:paraId="7AE96238">
      <w:pPr>
        <w:ind w:firstLine="640" w:firstLineChars="200"/>
        <w:rPr>
          <w:rFonts w:hint="eastAsia" w:ascii="宋体" w:hAnsi="宋体" w:eastAsia="宋体"/>
          <w:sz w:val="32"/>
          <w:szCs w:val="32"/>
        </w:rPr>
      </w:pPr>
      <w:bookmarkStart w:id="0" w:name="_GoBack"/>
      <w:bookmarkEnd w:id="0"/>
      <w:r>
        <w:rPr>
          <w:rFonts w:hint="eastAsia" w:ascii="宋体" w:hAnsi="宋体" w:eastAsia="宋体"/>
          <w:bCs/>
          <w:sz w:val="32"/>
          <w:szCs w:val="32"/>
        </w:rPr>
        <w:t>对2023年度共</w:t>
      </w:r>
      <w:r>
        <w:rPr>
          <w:rFonts w:hint="eastAsia" w:ascii="宋体" w:hAnsi="宋体" w:eastAsia="宋体"/>
          <w:sz w:val="32"/>
          <w:szCs w:val="32"/>
        </w:rPr>
        <w:t>选取了8家预算单位进行了绩效自评抽查</w:t>
      </w:r>
      <w:r>
        <w:rPr>
          <w:rFonts w:hint="eastAsia" w:ascii="宋体" w:hAnsi="宋体" w:eastAsia="宋体"/>
          <w:bCs/>
          <w:sz w:val="32"/>
          <w:szCs w:val="32"/>
        </w:rPr>
        <w:t>。</w:t>
      </w:r>
      <w:r>
        <w:rPr>
          <w:rFonts w:hint="eastAsia" w:ascii="宋体" w:hAnsi="宋体" w:eastAsia="宋体"/>
          <w:sz w:val="32"/>
          <w:szCs w:val="32"/>
        </w:rPr>
        <w:t>经抽查评价，8家预算单位及4个项目的绩效自评工作按照优、良、中、差评价等级，全部评价等级为优，抽查结果是被抽查的预算单位及项目均能够按照预算自评的要求开展绩效自评，自评结果都做到了客观准确、完整规范，都能按照项目绩效目标执行项目，资金实际执行情况与绩效目标完成情况均完成较好。</w:t>
      </w:r>
    </w:p>
    <w:p w14:paraId="34F2EC18">
      <w:pPr>
        <w:rPr>
          <w:rFonts w:hint="eastAsia" w:ascii="宋体" w:hAnsi="宋体" w:eastAsia="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37D"/>
    <w:rsid w:val="001262FD"/>
    <w:rsid w:val="0043137D"/>
    <w:rsid w:val="008B62EF"/>
    <w:rsid w:val="00B6603B"/>
    <w:rsid w:val="111F6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qFormat/>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szCs w:val="24"/>
    </w:rPr>
  </w:style>
  <w:style w:type="character" w:customStyle="1" w:styleId="20">
    <w:name w:val="标题 6 字符"/>
    <w:basedOn w:val="14"/>
    <w:link w:val="7"/>
    <w:semiHidden/>
    <w:qFormat/>
    <w:uiPriority w:val="9"/>
    <w:rPr>
      <w:rFonts w:cstheme="majorBidi"/>
      <w:b/>
      <w:bCs/>
      <w:color w:val="104862"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qFormat/>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915</Words>
  <Characters>947</Characters>
  <Lines>6</Lines>
  <Paragraphs>1</Paragraphs>
  <TotalTime>10</TotalTime>
  <ScaleCrop>false</ScaleCrop>
  <LinksUpToDate>false</LinksUpToDate>
  <CharactersWithSpaces>948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czj</dc:creator>
  <cp:lastModifiedBy>曼祎妈妈</cp:lastModifiedBy>
  <dcterms:modified xsi:type="dcterms:W3CDTF">2025-06-26T01:34:32Z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eyJoZGlkIjoiOWYzOWUyNWQwNDg4YWU1NDljYmNmYWZiNTc3NGFiMjUiLCJ1c2VySWQiOiI3Nzg5NTg4ODEifQ==</vt:lpwstr>
  </property>
  <property fmtid="{D5CDD505-2E9C-101B-9397-08002B2CF9AE}" pid="3" name="KSOProductBuildVer">
    <vt:lpwstr>2052-12.1.0.21541</vt:lpwstr>
  </property>
  <property fmtid="{D5CDD505-2E9C-101B-9397-08002B2CF9AE}" pid="4" name="ICV">
    <vt:lpwstr>803189FDF9DF4465AB468652130FAF7D_12</vt:lpwstr>
  </property>
</Properties>
</file>