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23"/>
      <w:r>
        <w:rPr>
          <w:rFonts w:hint="eastAsia" w:ascii="方正小标宋_GBK" w:hAnsi="方正小标宋_GBK" w:eastAsia="方正小标宋_GBK"/>
          <w:b w:val="0"/>
          <w:bCs w:val="0"/>
          <w:sz w:val="30"/>
        </w:rPr>
        <w:t>（二十）</w:t>
      </w:r>
      <w:bookmarkStart w:id="1" w:name="_GoBack"/>
      <w:r>
        <w:rPr>
          <w:rFonts w:hint="eastAsia" w:ascii="方正小标宋_GBK" w:hAnsi="方正小标宋_GBK" w:eastAsia="方正小标宋_GBK"/>
          <w:b w:val="0"/>
          <w:bCs w:val="0"/>
          <w:sz w:val="30"/>
        </w:rPr>
        <w:t>公共文化服务领域基层政务公开标准目录</w:t>
      </w:r>
      <w:bookmarkEnd w:id="1"/>
      <w:bookmarkEnd w:id="0"/>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ascii="Times New Roman" w:hAnsi="Times New Roman"/>
                <w:color w:val="000000"/>
                <w:kern w:val="0"/>
                <w:sz w:val="22"/>
              </w:rPr>
            </w:pPr>
          </w:p>
        </w:tc>
        <w:tc>
          <w:tcPr>
            <w:tcW w:w="73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noWrap w:val="0"/>
            <w:vAlign w:val="center"/>
          </w:tcPr>
          <w:p>
            <w:pPr>
              <w:widowControl/>
              <w:jc w:val="left"/>
              <w:rPr>
                <w:rFonts w:ascii="黑体" w:hAnsi="宋体" w:eastAsia="黑体" w:cs="宋体"/>
                <w:color w:val="000000"/>
                <w:kern w:val="0"/>
                <w:sz w:val="22"/>
              </w:rPr>
            </w:pPr>
          </w:p>
        </w:tc>
        <w:tc>
          <w:tcPr>
            <w:tcW w:w="1980" w:type="dxa"/>
            <w:vMerge w:val="continue"/>
            <w:noWrap w:val="0"/>
            <w:vAlign w:val="center"/>
          </w:tcPr>
          <w:p>
            <w:pPr>
              <w:widowControl/>
              <w:jc w:val="left"/>
              <w:rPr>
                <w:rFonts w:ascii="黑体" w:hAnsi="宋体" w:eastAsia="黑体" w:cs="宋体"/>
                <w:color w:val="000000"/>
                <w:kern w:val="0"/>
                <w:sz w:val="22"/>
              </w:rPr>
            </w:pPr>
          </w:p>
        </w:tc>
        <w:tc>
          <w:tcPr>
            <w:tcW w:w="1814" w:type="dxa"/>
            <w:vMerge w:val="continue"/>
            <w:noWrap w:val="0"/>
            <w:vAlign w:val="center"/>
          </w:tcPr>
          <w:p>
            <w:pPr>
              <w:widowControl/>
              <w:jc w:val="left"/>
              <w:rPr>
                <w:rFonts w:ascii="黑体" w:hAnsi="宋体" w:eastAsia="黑体" w:cs="宋体"/>
                <w:color w:val="000000"/>
                <w:kern w:val="0"/>
                <w:sz w:val="22"/>
              </w:rPr>
            </w:pPr>
          </w:p>
        </w:tc>
        <w:tc>
          <w:tcPr>
            <w:tcW w:w="1426"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互联网上网服务营业场所经营许可</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《行政许可法》、《政府信息公开条例》、《互联网上网服务营业场所管理条例》</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文艺表演团体设立审批</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《行政许可法》、《政府信息公开条例》、《营业性演出管理条例》、《文化部关于落实“先照后证”改进文化市场行政审批工作的通知》 </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w:t>
            </w:r>
          </w:p>
        </w:tc>
        <w:tc>
          <w:tcPr>
            <w:tcW w:w="73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营业性演出审批</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娱乐场所经营许可</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《行政许可法》；《政府信息公开条例》</w:t>
            </w:r>
            <w:r>
              <w:rPr>
                <w:rFonts w:hint="eastAsia" w:ascii="仿宋_GB2312" w:hAnsi="Times New Roman" w:eastAsia="仿宋_GB2312"/>
                <w:sz w:val="18"/>
                <w:szCs w:val="18"/>
                <w:lang w:eastAsia="zh-CN"/>
              </w:rPr>
              <w:t>、《</w:t>
            </w:r>
            <w:r>
              <w:rPr>
                <w:rFonts w:hint="eastAsia" w:ascii="仿宋_GB2312" w:hAnsi="Times New Roman" w:eastAsia="仿宋_GB2312"/>
                <w:sz w:val="18"/>
                <w:szCs w:val="18"/>
                <w:lang w:val="en-US" w:eastAsia="zh-CN"/>
              </w:rPr>
              <w:t>娱乐场所管理条例</w:t>
            </w:r>
            <w:r>
              <w:rPr>
                <w:rFonts w:hint="eastAsia" w:ascii="仿宋_GB2312" w:hAnsi="Times New Roman" w:eastAsia="仿宋_GB2312"/>
                <w:sz w:val="18"/>
                <w:szCs w:val="18"/>
                <w:lang w:eastAsia="zh-CN"/>
              </w:rPr>
              <w:t>》</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县级文物保护单位保护范围内其他建设工程或者爆破、钻探、挖掘等作业审批</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《行政许可法》；《政府信息公开条例》</w:t>
            </w:r>
            <w:r>
              <w:rPr>
                <w:rFonts w:hint="eastAsia" w:ascii="仿宋_GB2312" w:hAnsi="Times New Roman" w:eastAsia="仿宋_GB2312"/>
                <w:sz w:val="18"/>
                <w:szCs w:val="18"/>
                <w:lang w:eastAsia="zh-CN"/>
              </w:rPr>
              <w:t>、《</w:t>
            </w:r>
            <w:r>
              <w:rPr>
                <w:rFonts w:hint="eastAsia" w:ascii="仿宋_GB2312" w:hAnsi="Times New Roman" w:eastAsia="仿宋_GB2312"/>
                <w:sz w:val="18"/>
                <w:szCs w:val="18"/>
                <w:lang w:val="en-US" w:eastAsia="zh-CN"/>
              </w:rPr>
              <w:t>中华人民共和国文物保护法</w:t>
            </w:r>
            <w:r>
              <w:rPr>
                <w:rFonts w:hint="eastAsia" w:ascii="仿宋_GB2312" w:hAnsi="Times New Roman" w:eastAsia="仿宋_GB2312"/>
                <w:sz w:val="18"/>
                <w:szCs w:val="18"/>
                <w:lang w:eastAsia="zh-CN"/>
              </w:rPr>
              <w:t>》</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县级文物保护单位建设控制地带内建设工程设计方案审批</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《行政许可法》；《政府信息公开条例》《中华人民共和国文物保护法》</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县级文物保护单位实施原址保护措施审批</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《行政许可法》；《政府信息公开条例》《中华人民共和国文物保护法》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县级文物保护单位和未核定为文物保护单位的不可移动文物修缮审批</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《行政许可法》；《政府信息公开条例》《中华人民共和国文物保护法》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9</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核定为县级文物保护单位的属于国家所有的纪念建筑物或者古建筑改变用途审批</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《行政许可法》；《政府信息公开条例》《中华人民共和国文物保护法》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10</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非国有文物收藏单位和其他单位举办展览需借用国有馆藏二级以下文物审批</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《行政许可法》、《政府信息公开条例》《中华人民共和国文物保护法》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11</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对互联网上网服务营业场所违法行为的行政处罚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12</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对娱乐场所违法行为的行政处罚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13</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对营业性演出违法行为的行政处罚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14</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对艺术品经营违法行为的行政处罚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15</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对网络游戏运营单位违法行为的行政处罚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16</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对社会艺术水平考级活动违法行为的行政处罚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17</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对互联网文化单位违法行为的行政处罚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18</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对擅自在文物保护单位的保护范围内进行建设工程或者爆破、钻探、挖掘等作业的行为进行处罚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《政府信息公开条例》、《国务院办公厅关于全面推行行政执法公示制度执法全过程记录制度重大执法决定法制审核制度的指导意见》《中华人民共和国文物保护法》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19</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对在文物保护单位的建设控制地带内进行建设工程，其工程设计方案未经</w:t>
            </w:r>
            <w:r>
              <w:rPr>
                <w:rFonts w:hint="eastAsia" w:ascii="仿宋_GB2312" w:hAnsi="Times New Roman" w:eastAsia="仿宋_GB2312"/>
                <w:sz w:val="18"/>
                <w:szCs w:val="18"/>
                <w:lang w:eastAsia="zh-CN"/>
              </w:rPr>
              <w:t>区文旅广局</w:t>
            </w:r>
            <w:r>
              <w:rPr>
                <w:rFonts w:hint="eastAsia" w:ascii="仿宋_GB2312" w:hAnsi="Times New Roman" w:eastAsia="仿宋_GB2312"/>
                <w:sz w:val="18"/>
                <w:szCs w:val="18"/>
              </w:rPr>
              <w:t>同意、报城乡建设规划部门批准，对文物保护单位的历史风貌造成破坏的行为进行处罚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《政府信息公开条例》、《国务院办公厅关于全面推行行政执法公示制度执法全过程记录制度重大执法决定法制审核制度的指导意见》《中华人民共和国文物保护法》</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20</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对擅自迁移、拆除不可移动文物的行为进行处罚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《政府信息公开条例》、《国务院办公厅关于全面推行行政执法公示制度执法全过程记录制度重大执法决定法制审核制度的指导意见》《中华人民共和国文物保护法》</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21</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对擅自修缮不可移动文物，明显改变文物原状的行为进行处罚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《政府信息公开条例》、《国务院办公厅关于全面推行行政执法公示制度执法全过程记录制度重大执法决定法制审核制度的指导意见》《中华人民共和国文物保护法》</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22</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对擅自在原址重建已全部毁坏的不可移动文物，造成文物破坏的行为进行处罚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《政府信息公开条例》、《国务院办公厅关于全面推行行政执法公示制度执法全过程记录制度重大执法决定法制审核制度的指导意见》《中华人民共和国文物保护法》</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23</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对施工单位未取得文物保护工程资质证书，擅自从事文物修缮、迁移、重建的行为进行处罚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《政府信息公开条例》、《国务院办公厅关于全面推行行政执法公示制度执法全过程记录制度重大执法决定法制审核制度的指导意见》《中华人民共和国文物保护法》</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24</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对转让或者抵押国有不可移动文物的行为进行处罚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《政府信息公开条例》、《国务院办公厅关于全面推行行政执法公示制度执法全过程记录制度重大执法决定法制审核制度的指导意见》《中华人民共和国文物保护法》</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25</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对将国有不可移动文物作为企业资产经营的行为进行处罚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《政府信息公开条例》、《国务院办公厅关于全面推行行政执法公示制度执法全过程记录制度重大执法决定法制审核制度的指导意见》《中华人民共和国文物保护法》</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26</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对将非国有不可移动文物转让或者抵押给外国人的行为进行处罚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《政府信息公开条例》、《国务院办公厅关于全面推行行政执法公示制度执法全过程记录制度重大执法决定法制审核制度的指导意见》《中华人民共和国文物保护法》</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27</w:t>
            </w:r>
          </w:p>
        </w:tc>
        <w:tc>
          <w:tcPr>
            <w:tcW w:w="734" w:type="dxa"/>
            <w:vMerge w:val="restart"/>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对擅自改变国有文物保护单位用途的行为进行处罚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《政府信息公开条例》、《国务院办公厅关于全面推行行政执法公示制度执法全过程记录制度重大执法决定法制审核制度《中华人民共和国文物保护法》的指导意见》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28</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对文物收藏单位未按照国家有关规定配备防火、防盗、防自然损坏的设施的行为进行处罚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《政府信息公开条例》、《国务院办公厅关于全面推行行政执法公示制度执法全过程记录制度重大执法决定法制审核制度的指导意见》《中华人民共和国文物保护法》</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29</w:t>
            </w:r>
          </w:p>
        </w:tc>
        <w:tc>
          <w:tcPr>
            <w:tcW w:w="734" w:type="dxa"/>
            <w:vMerge w:val="restart"/>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对国有文物收藏单位法定代表人离任时未按照馆藏文物档案移交馆藏文物，或者所移交的馆藏文物与馆藏文物档案不符的行为进行处罚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《政府信息公开条例》、《国务院办公厅关于全面推行行政执法公示制度执法全过程记录制度重大执法决定法制审核制度的指导意见》《中华人民共和国文物保护法》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30</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对将国有馆藏文物赠与、出租或者出售给其他单位、个人的行为进行处罚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《政府信息公开条例》、《国务院办公厅关于全面推行行政执法公示制度执法全过程记录制度重大执法决定法制审核制度的指导意见》《中华人民共和国文物保护法》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31</w:t>
            </w:r>
          </w:p>
        </w:tc>
        <w:tc>
          <w:tcPr>
            <w:tcW w:w="734" w:type="dxa"/>
            <w:vMerge w:val="restart"/>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对违法借用、交换、处置国有馆藏文物的行为进行处罚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《政府信息公开条例》、《国务院办公厅关于全面推行行政执法公示制度执法全过程记录制度重大执法决定法制审核制度的指导意见》《中华人民共和国文物保护法》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32</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对违法挪用或者侵占依法调拨、交换、出借文物所得补偿费用的行为进行处罚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《政府信息公开条例》、《国务院办公厅关于全面推行行政执法公示制度执法全过程记录制度重大执法决定法制审核制度的指导意见》《中华人民共和国文物保护法》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33</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对发现文物隐匿不报，或者拒不上交的行为进行处罚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《政府信息公开条例》、《国务院办公厅关于全面推行行政执法公示制度执法全过程记录制度重大执法决定法制审核制度的指导意见》《中华人民共和国文物保护法》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34</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对未按照规定移交拣选文物的行为进行处罚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《政府信息公开条例》、《国务院办公厅关于全面推行行政执法公示制度执法全过程记录制度重大执法决定法制审核制度的指导意见》《中华人民共和国文物保护法》</w:t>
            </w:r>
          </w:p>
        </w:tc>
        <w:tc>
          <w:tcPr>
            <w:tcW w:w="1814" w:type="dxa"/>
            <w:noWrap w:val="0"/>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35</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对未取得相应等级的文物保护工程资质证书，擅自承担文物保护单位的修缮、迁移、重建工程逾期不改正，或者造成严重后果的行为进行处罚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《政府信息公开条例》、《国务院办公厅关于全面推行行政执法公示制度执法全过程记录制度重大执法决定法制审核制度的指导意见》《中华人民共和国文物保护法》</w:t>
            </w:r>
          </w:p>
        </w:tc>
        <w:tc>
          <w:tcPr>
            <w:tcW w:w="1814" w:type="dxa"/>
            <w:noWrap w:val="0"/>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36</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对未取得资质证书，擅自从事馆藏文物的修复、复制、拓印活动的行为进行处罚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《政府信息公开条例》、《国务院办公厅关于全面推行行政执法公示制度执法全过程记录制度重大执法决定法制审核制度的指导意见》《中华人民共和国文物保护法》</w:t>
            </w:r>
          </w:p>
        </w:tc>
        <w:tc>
          <w:tcPr>
            <w:tcW w:w="1814" w:type="dxa"/>
            <w:noWrap w:val="0"/>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37</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对擅自修复、复制、拓印馆藏珍贵文物的行为进行处罚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《政府信息公开条例》、《国务院办公厅关于全面推行行政执法公示制度执法全过程记录制度重大执法决定法制审核制度的指导意见》《中华人民共和国文物保护法》</w:t>
            </w:r>
          </w:p>
        </w:tc>
        <w:tc>
          <w:tcPr>
            <w:tcW w:w="1814" w:type="dxa"/>
            <w:noWrap w:val="0"/>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38</w:t>
            </w:r>
          </w:p>
        </w:tc>
        <w:tc>
          <w:tcPr>
            <w:tcW w:w="73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强制</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对擅自从事互联网上网服务经营活动场所的查封，专用工具、设备的扣押</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39</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区文旅广局</w:t>
            </w:r>
            <w:r>
              <w:rPr>
                <w:rFonts w:hint="eastAsia" w:ascii="仿宋_GB2312" w:hAnsi="Times New Roman" w:eastAsia="仿宋_GB2312"/>
                <w:sz w:val="18"/>
                <w:szCs w:val="18"/>
              </w:rPr>
              <w:t>，相关公共文化服务机构</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40</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区文旅广局</w:t>
            </w:r>
            <w:r>
              <w:rPr>
                <w:rFonts w:hint="eastAsia" w:ascii="仿宋_GB2312" w:hAnsi="Times New Roman" w:eastAsia="仿宋_GB2312"/>
                <w:sz w:val="18"/>
                <w:szCs w:val="18"/>
              </w:rPr>
              <w:t>，相关公共文化服务机构</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41</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区文旅广局</w:t>
            </w:r>
            <w:r>
              <w:rPr>
                <w:rFonts w:hint="eastAsia" w:ascii="仿宋_GB2312" w:hAnsi="Times New Roman" w:eastAsia="仿宋_GB2312"/>
                <w:sz w:val="18"/>
                <w:szCs w:val="18"/>
              </w:rPr>
              <w:t>，相关公共文化服务机构</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42</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区文旅广局</w:t>
            </w:r>
            <w:r>
              <w:rPr>
                <w:rFonts w:hint="eastAsia" w:ascii="仿宋_GB2312" w:hAnsi="Times New Roman" w:eastAsia="仿宋_GB2312"/>
                <w:sz w:val="18"/>
                <w:szCs w:val="18"/>
              </w:rPr>
              <w:t>，相关公共文化服务机构</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43</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区文旅广局</w:t>
            </w:r>
            <w:r>
              <w:rPr>
                <w:rFonts w:hint="eastAsia" w:ascii="仿宋_GB2312" w:hAnsi="Times New Roman" w:eastAsia="仿宋_GB2312"/>
                <w:sz w:val="18"/>
                <w:szCs w:val="18"/>
              </w:rPr>
              <w:t>，相关公共文化服务机构</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44</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区文旅广局</w:t>
            </w:r>
            <w:r>
              <w:rPr>
                <w:rFonts w:hint="eastAsia" w:ascii="仿宋_GB2312" w:hAnsi="Times New Roman" w:eastAsia="仿宋_GB2312"/>
                <w:sz w:val="18"/>
                <w:szCs w:val="18"/>
              </w:rPr>
              <w:t>，相关公共文化服务机构</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45</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区文旅广局</w:t>
            </w:r>
            <w:r>
              <w:rPr>
                <w:rFonts w:hint="eastAsia" w:ascii="仿宋_GB2312" w:hAnsi="Times New Roman" w:eastAsia="仿宋_GB2312"/>
                <w:sz w:val="18"/>
                <w:szCs w:val="18"/>
              </w:rPr>
              <w:t>，相关公共文化服务机构</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46</w:t>
            </w:r>
          </w:p>
        </w:tc>
        <w:tc>
          <w:tcPr>
            <w:tcW w:w="73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《政府信息公开条例》《中华人民共和国文物保护法》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区文旅广局</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jc w:val="left"/>
        <w:rPr>
          <w:rFonts w:ascii="Times New Roman" w:hAnsi="Times New Roman" w:eastAsia="方正小标宋_GBK"/>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73E7F3-476B-4E8A-8A40-36782F95FE9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2D6BB641-C624-40C5-A291-6EE3A467F6BA}"/>
  </w:font>
  <w:font w:name="仿宋_GB2312">
    <w:altName w:val="仿宋"/>
    <w:panose1 w:val="02010609030101010101"/>
    <w:charset w:val="86"/>
    <w:family w:val="modern"/>
    <w:pitch w:val="default"/>
    <w:sig w:usb0="00000000" w:usb1="00000000" w:usb2="00000010" w:usb3="00000000" w:csb0="00040000" w:csb1="00000000"/>
    <w:embedRegular r:id="rId3" w:fontKey="{EC6DC054-D7AE-4437-8551-076D2D3A39F2}"/>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65829"/>
    <w:rsid w:val="76865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2020-12-15T01:35:00Z</dcterms:created>
  <dc:creator>A·pan妞儿</dc:creator>
  <cp:lastModifiedBy>A·pan妞儿</cp:lastModifiedBy>
  <dcterms:modified xsi:type="dcterms:W3CDTF">2020-12-15T02:09:56Z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