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638" w:leftChars="304"/>
        <w:jc w:val="center"/>
        <w:rPr>
          <w:rFonts w:cs="宋体" w:asciiTheme="majorEastAsia" w:hAnsiTheme="majorEastAsia" w:eastAsiaTheme="majorEastAsia"/>
          <w:bCs/>
          <w:kern w:val="36"/>
          <w:sz w:val="44"/>
          <w:szCs w:val="44"/>
        </w:rPr>
      </w:pPr>
      <w:r>
        <w:rPr>
          <w:rFonts w:hint="eastAsia" w:cs="宋体" w:asciiTheme="majorEastAsia" w:hAnsiTheme="majorEastAsia" w:eastAsiaTheme="majorEastAsia"/>
          <w:bCs/>
          <w:kern w:val="36"/>
          <w:sz w:val="44"/>
          <w:szCs w:val="44"/>
        </w:rPr>
        <w:t xml:space="preserve">  清河区林业局单位2018年部门决算公开补充说明</w:t>
      </w:r>
    </w:p>
    <w:p>
      <w:pPr>
        <w:adjustRightInd w:val="0"/>
        <w:snapToGrid w:val="0"/>
        <w:spacing w:line="560" w:lineRule="exact"/>
        <w:ind w:left="638" w:leftChars="304"/>
        <w:jc w:val="center"/>
        <w:rPr>
          <w:rFonts w:cs="宋体" w:asciiTheme="majorEastAsia" w:hAnsiTheme="majorEastAsia" w:eastAsiaTheme="majorEastAsia"/>
          <w:bCs/>
          <w:kern w:val="36"/>
          <w:sz w:val="44"/>
          <w:szCs w:val="44"/>
        </w:rPr>
      </w:pPr>
    </w:p>
    <w:p>
      <w:pPr>
        <w:adjustRightInd w:val="0"/>
        <w:snapToGrid w:val="0"/>
        <w:spacing w:line="560" w:lineRule="exact"/>
        <w:ind w:firstLine="640" w:firstLineChars="200"/>
        <w:jc w:val="left"/>
        <w:rPr>
          <w:rFonts w:ascii="仿宋_GB2312" w:hAnsi="宋体" w:eastAsia="仿宋_GB2312" w:cs="宋体"/>
          <w:bCs/>
          <w:kern w:val="36"/>
          <w:sz w:val="32"/>
          <w:szCs w:val="32"/>
        </w:rPr>
      </w:pPr>
      <w:r>
        <w:rPr>
          <w:rFonts w:hint="eastAsia" w:ascii="仿宋_GB2312" w:hAnsi="宋体" w:eastAsia="仿宋_GB2312" w:cs="宋体"/>
          <w:bCs/>
          <w:kern w:val="36"/>
          <w:sz w:val="32"/>
          <w:szCs w:val="32"/>
        </w:rPr>
        <w:t>根据铁岭市财</w:t>
      </w:r>
      <w:r>
        <w:rPr>
          <w:rFonts w:hint="eastAsia" w:ascii="仿宋_GB2312" w:hAnsi="宋体" w:eastAsia="仿宋_GB2312" w:cs="宋体"/>
          <w:bCs/>
          <w:kern w:val="36"/>
          <w:sz w:val="32"/>
          <w:szCs w:val="32"/>
          <w:lang w:eastAsia="zh-CN"/>
        </w:rPr>
        <w:t>政</w:t>
      </w:r>
      <w:bookmarkStart w:id="0" w:name="_GoBack"/>
      <w:bookmarkEnd w:id="0"/>
      <w:r>
        <w:rPr>
          <w:rFonts w:hint="eastAsia" w:ascii="仿宋_GB2312" w:hAnsi="宋体" w:eastAsia="仿宋_GB2312" w:cs="宋体"/>
          <w:bCs/>
          <w:kern w:val="36"/>
          <w:sz w:val="32"/>
          <w:szCs w:val="32"/>
        </w:rPr>
        <w:t xml:space="preserve">局下达的2018年部门决算公开要求，现对2018年部门决算公开说明补充如下： </w:t>
      </w:r>
    </w:p>
    <w:p>
      <w:pPr>
        <w:adjustRightInd w:val="0"/>
        <w:snapToGrid w:val="0"/>
        <w:spacing w:line="560" w:lineRule="exact"/>
        <w:ind w:left="638" w:leftChars="304"/>
        <w:rPr>
          <w:rFonts w:ascii="仿宋_GB2312" w:hAnsi="宋体" w:eastAsia="仿宋_GB2312" w:cs="宋体"/>
          <w:bCs/>
          <w:kern w:val="36"/>
          <w:sz w:val="32"/>
          <w:szCs w:val="32"/>
        </w:rPr>
      </w:pPr>
      <w:r>
        <w:rPr>
          <w:rFonts w:hint="eastAsia" w:ascii="黑体" w:hAnsi="黑体" w:eastAsia="黑体" w:cs="宋体"/>
          <w:bCs/>
          <w:kern w:val="36"/>
          <w:sz w:val="32"/>
          <w:szCs w:val="32"/>
        </w:rPr>
        <w:t>1、2018年总体情况</w:t>
      </w:r>
    </w:p>
    <w:p>
      <w:pPr>
        <w:adjustRightInd w:val="0"/>
        <w:snapToGrid w:val="0"/>
        <w:spacing w:line="560" w:lineRule="exact"/>
        <w:ind w:firstLine="645"/>
        <w:jc w:val="left"/>
        <w:rPr>
          <w:rFonts w:ascii="仿宋_GB2312" w:hAnsi="宋体" w:eastAsia="仿宋_GB2312" w:cs="宋体"/>
          <w:bCs/>
          <w:kern w:val="36"/>
          <w:sz w:val="32"/>
          <w:szCs w:val="32"/>
        </w:rPr>
      </w:pPr>
      <w:r>
        <w:rPr>
          <w:rFonts w:hint="eastAsia" w:ascii="仿宋_GB2312" w:hAnsi="宋体" w:eastAsia="仿宋_GB2312" w:cs="宋体"/>
          <w:bCs/>
          <w:kern w:val="36"/>
          <w:sz w:val="32"/>
          <w:szCs w:val="32"/>
        </w:rPr>
        <w:t>2018年度财政拨款支出403.92万元，其中：基本支出   350.82万元，项目支出53.1万元。与年初预算349.99万元相比，2018年财政拨款支出完成年初预算的 100.24 %，其中：基本支出完成年初预算的 124.03%，项目支出完成年初预算的79.08%。</w:t>
      </w:r>
    </w:p>
    <w:p>
      <w:pPr>
        <w:adjustRightInd w:val="0"/>
        <w:snapToGrid w:val="0"/>
        <w:spacing w:line="560" w:lineRule="exact"/>
        <w:ind w:firstLine="645"/>
        <w:rPr>
          <w:rFonts w:ascii="黑体" w:hAnsi="黑体" w:eastAsia="黑体" w:cs="宋体"/>
          <w:bCs/>
          <w:kern w:val="36"/>
          <w:sz w:val="32"/>
          <w:szCs w:val="32"/>
        </w:rPr>
      </w:pPr>
      <w:r>
        <w:rPr>
          <w:rFonts w:hint="eastAsia" w:ascii="黑体" w:hAnsi="黑体" w:eastAsia="黑体" w:cs="宋体"/>
          <w:bCs/>
          <w:kern w:val="36"/>
          <w:sz w:val="32"/>
          <w:szCs w:val="32"/>
        </w:rPr>
        <w:t>2、2018年收入支出增减情况说明</w:t>
      </w:r>
    </w:p>
    <w:p>
      <w:pPr>
        <w:adjustRightInd w:val="0"/>
        <w:snapToGrid w:val="0"/>
        <w:spacing w:line="560" w:lineRule="exact"/>
        <w:ind w:firstLine="643" w:firstLineChars="200"/>
        <w:jc w:val="left"/>
        <w:rPr>
          <w:rFonts w:ascii="仿宋_GB2312" w:hAnsi="宋体" w:eastAsia="仿宋_GB2312" w:cs="宋体"/>
          <w:bCs/>
          <w:kern w:val="36"/>
          <w:sz w:val="32"/>
          <w:szCs w:val="32"/>
        </w:rPr>
      </w:pPr>
      <w:r>
        <w:rPr>
          <w:rFonts w:hint="eastAsia" w:ascii="仿宋_GB2312" w:hAnsi="仿宋" w:eastAsia="仿宋_GB2312" w:cs="宋体"/>
          <w:b/>
          <w:bCs/>
          <w:kern w:val="36"/>
          <w:sz w:val="32"/>
          <w:szCs w:val="32"/>
        </w:rPr>
        <w:t>收入增减情况。</w:t>
      </w:r>
      <w:r>
        <w:rPr>
          <w:rFonts w:hint="eastAsia" w:ascii="仿宋_GB2312" w:hAnsi="宋体" w:eastAsia="仿宋_GB2312" w:cs="宋体"/>
          <w:bCs/>
          <w:kern w:val="36"/>
          <w:sz w:val="32"/>
          <w:szCs w:val="32"/>
        </w:rPr>
        <w:t>2018年，清河区林业局部门决算收入     403.92万元，比上年增加 67.17万元，增幅 19.95%，其中：财政拨款收入403.92万元，同比增加67.17万元，增幅19.95 %；财政拨款收入同比增减的主要原因是机关事业单位养老保险缴费的增加  。</w:t>
      </w:r>
    </w:p>
    <w:p>
      <w:pPr>
        <w:adjustRightInd w:val="0"/>
        <w:snapToGrid w:val="0"/>
        <w:spacing w:line="560" w:lineRule="exact"/>
        <w:ind w:firstLine="643" w:firstLineChars="200"/>
        <w:jc w:val="left"/>
        <w:rPr>
          <w:rFonts w:ascii="仿宋_GB2312" w:hAnsi="宋体" w:eastAsia="仿宋_GB2312" w:cs="宋体"/>
          <w:bCs/>
          <w:kern w:val="36"/>
          <w:sz w:val="32"/>
          <w:szCs w:val="32"/>
        </w:rPr>
      </w:pPr>
      <w:r>
        <w:rPr>
          <w:rFonts w:hint="eastAsia" w:ascii="仿宋_GB2312" w:hAnsi="宋体" w:eastAsia="仿宋_GB2312" w:cs="宋体"/>
          <w:b/>
          <w:bCs/>
          <w:kern w:val="36"/>
          <w:sz w:val="32"/>
          <w:szCs w:val="32"/>
        </w:rPr>
        <w:t>支出增减情况。</w:t>
      </w:r>
      <w:r>
        <w:rPr>
          <w:rFonts w:hint="eastAsia" w:ascii="仿宋_GB2312" w:hAnsi="宋体" w:eastAsia="仿宋_GB2312" w:cs="宋体"/>
          <w:bCs/>
          <w:kern w:val="36"/>
          <w:sz w:val="32"/>
          <w:szCs w:val="32"/>
        </w:rPr>
        <w:t>2018年，清河区林业局部门决算总支出  403.92 万元，同比增加支出  67.17  万元，增幅 19.95%，其中：基本支出增加 48.35万元，增幅15.99%；项目支出增加18.82万元，增减幅54.9%。增减支出的主要原因：机关事业单位养老保险缴费的增加和项目的增加 。</w:t>
      </w: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黑体" w:hAnsi="黑体" w:eastAsia="黑体" w:cs="宋体"/>
          <w:bCs/>
          <w:kern w:val="36"/>
          <w:sz w:val="32"/>
          <w:szCs w:val="32"/>
        </w:rPr>
      </w:pPr>
      <w:r>
        <w:rPr>
          <w:rFonts w:hint="eastAsia" w:ascii="黑体" w:hAnsi="黑体" w:eastAsia="黑体" w:cs="宋体"/>
          <w:bCs/>
          <w:kern w:val="36"/>
          <w:sz w:val="32"/>
          <w:szCs w:val="32"/>
        </w:rPr>
        <w:t>3、一般公共预算财政拨款基本支出决算情况说明</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2018年度一般公共预算财政拨款基本支出350.82万元，其中：人员经费344.71万元，主要包括基本工资160.96万元、津贴补贴122.17万元、住房公积金21.64万、抚恤金0.65万元、其他社会保障缴费39.29万元；公用经费6.11 万元，主要包括办公费0.88万元、电费0.38万元、水费0.3万元、邮电费0.46万元、差旅费0.92万元、公务用车运行1.00万元、其他2.17万元、。</w:t>
      </w:r>
    </w:p>
    <w:p>
      <w:pPr>
        <w:adjustRightInd w:val="0"/>
        <w:snapToGrid w:val="0"/>
        <w:spacing w:line="560" w:lineRule="exact"/>
        <w:ind w:firstLine="645"/>
        <w:rPr>
          <w:rFonts w:ascii="黑体" w:hAnsi="黑体" w:eastAsia="黑体" w:cs="宋体"/>
          <w:bCs/>
          <w:kern w:val="36"/>
          <w:sz w:val="32"/>
          <w:szCs w:val="32"/>
        </w:rPr>
      </w:pPr>
      <w:r>
        <w:rPr>
          <w:rFonts w:hint="eastAsia" w:ascii="黑体" w:hAnsi="黑体" w:eastAsia="黑体" w:cs="宋体"/>
          <w:bCs/>
          <w:kern w:val="36"/>
          <w:sz w:val="32"/>
          <w:szCs w:val="32"/>
        </w:rPr>
        <w:t>4、</w:t>
      </w:r>
      <w:r>
        <w:rPr>
          <w:rFonts w:ascii="黑体" w:hAnsi="黑体" w:eastAsia="黑体" w:cs="宋体"/>
          <w:bCs/>
          <w:kern w:val="36"/>
          <w:sz w:val="32"/>
          <w:szCs w:val="32"/>
        </w:rPr>
        <w:t>国有资产占用详细情况</w:t>
      </w:r>
    </w:p>
    <w:p>
      <w:pPr>
        <w:adjustRightInd w:val="0"/>
        <w:snapToGrid w:val="0"/>
        <w:spacing w:line="560" w:lineRule="exact"/>
        <w:ind w:firstLine="420" w:firstLineChars="200"/>
        <w:rPr>
          <w:rFonts w:ascii="仿宋_GB2312" w:hAnsi="宋体" w:eastAsia="仿宋_GB2312" w:cs="宋体"/>
          <w:bCs/>
          <w:kern w:val="36"/>
          <w:sz w:val="32"/>
          <w:szCs w:val="32"/>
        </w:rPr>
      </w:pPr>
      <w:r>
        <w:rPr>
          <w:rFonts w:hint="eastAsia"/>
        </w:rPr>
        <w:t>　　</w:t>
      </w:r>
      <w:r>
        <w:rPr>
          <w:rFonts w:hint="eastAsia" w:ascii="仿宋_GB2312" w:hAnsi="宋体" w:eastAsia="仿宋_GB2312" w:cs="宋体"/>
          <w:bCs/>
          <w:kern w:val="36"/>
          <w:sz w:val="32"/>
          <w:szCs w:val="32"/>
        </w:rPr>
        <w:t>截至2018年12月31日，清河区林业局共有车辆   6辆，其中：副县级以上领导干部用车0辆，一般公务用车1辆，一般执法执勤用车2辆，特种专业技术用车3辆，其他用车0辆；单位价值50万元以上设备0台（套）,单价100万元以上专用设备0台（套）。</w:t>
      </w:r>
    </w:p>
    <w:p>
      <w:pPr>
        <w:adjustRightInd w:val="0"/>
        <w:snapToGrid w:val="0"/>
        <w:spacing w:line="560" w:lineRule="exact"/>
        <w:ind w:firstLine="645"/>
        <w:rPr>
          <w:rFonts w:ascii="黑体" w:hAnsi="黑体" w:eastAsia="黑体" w:cs="宋体"/>
          <w:bCs/>
          <w:kern w:val="36"/>
          <w:sz w:val="32"/>
          <w:szCs w:val="32"/>
        </w:rPr>
      </w:pPr>
      <w:r>
        <w:rPr>
          <w:rFonts w:hint="eastAsia" w:ascii="黑体" w:hAnsi="黑体" w:eastAsia="黑体" w:cs="宋体"/>
          <w:bCs/>
          <w:kern w:val="36"/>
          <w:sz w:val="32"/>
          <w:szCs w:val="32"/>
        </w:rPr>
        <w:t>5、预算绩效管理工作开展情况</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根据财政绩效管理要求，我单位组织对2018年度预算项目支出开展了绩效自评，共涉及林业技术推广和林业防灾减灾等项目  2 个，涉及资金 13 万元，自评覆盖率（开展绩效自评的项目数/年初批复绩效目标的项目数）达到100%，自评平均分（开展绩效自评的项目分数总和/开展绩效自评的项目数）为100分。</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通过绩效自评发现，我单位在财政预算资金管理中还存在以下问题：一是财政资金使用效率还需提高；二是项目建设需要进一步强化管理；三是节约意识需要加强。</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设置绩效评价标准，更加符合实际，客观科学。</w:t>
      </w: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仿宋_GB2312" w:hAnsi="宋体" w:eastAsia="仿宋_GB2312" w:cs="宋体"/>
          <w:bCs/>
          <w:kern w:val="36"/>
          <w:sz w:val="32"/>
          <w:szCs w:val="32"/>
        </w:rPr>
      </w:pP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 xml:space="preserve">                             清河区林业局</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 xml:space="preserve">                            </w:t>
      </w:r>
    </w:p>
    <w:p/>
    <w:sectPr>
      <w:footerReference r:id="rId3"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549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273"/>
    <w:rsid w:val="000C4273"/>
    <w:rsid w:val="00220A8B"/>
    <w:rsid w:val="00224F97"/>
    <w:rsid w:val="0028725D"/>
    <w:rsid w:val="0030045D"/>
    <w:rsid w:val="00392B5A"/>
    <w:rsid w:val="004600EC"/>
    <w:rsid w:val="005468A8"/>
    <w:rsid w:val="005B1328"/>
    <w:rsid w:val="005B6F8D"/>
    <w:rsid w:val="006E000B"/>
    <w:rsid w:val="007376D2"/>
    <w:rsid w:val="007F69E6"/>
    <w:rsid w:val="0081297B"/>
    <w:rsid w:val="00883948"/>
    <w:rsid w:val="00893390"/>
    <w:rsid w:val="008A4B81"/>
    <w:rsid w:val="008D1F59"/>
    <w:rsid w:val="00900C3D"/>
    <w:rsid w:val="00915661"/>
    <w:rsid w:val="00976355"/>
    <w:rsid w:val="00A67419"/>
    <w:rsid w:val="00B12BD5"/>
    <w:rsid w:val="00B338FB"/>
    <w:rsid w:val="00B34648"/>
    <w:rsid w:val="00BA2B95"/>
    <w:rsid w:val="00BF19F9"/>
    <w:rsid w:val="00C50B78"/>
    <w:rsid w:val="00D35BDD"/>
    <w:rsid w:val="00D8272F"/>
    <w:rsid w:val="00DC624B"/>
    <w:rsid w:val="00E65261"/>
    <w:rsid w:val="00F21E82"/>
    <w:rsid w:val="00F30EFC"/>
    <w:rsid w:val="00F511BD"/>
    <w:rsid w:val="00F67BC3"/>
    <w:rsid w:val="3E75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C8E25-D605-4F21-9075-488E87080A96}">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Words>
  <Characters>1169</Characters>
  <Lines>9</Lines>
  <Paragraphs>2</Paragraphs>
  <TotalTime>42</TotalTime>
  <ScaleCrop>false</ScaleCrop>
  <LinksUpToDate>false</LinksUpToDate>
  <CharactersWithSpaces>1371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2019-07-24T06:13:00Z</dcterms:created>
  <dc:creator>choi</dc:creator>
  <cp:lastModifiedBy>我想说</cp:lastModifiedBy>
  <dcterms:modified xsi:type="dcterms:W3CDTF">2021-08-12T07:24:11Z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